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2C" w:rsidRDefault="009A7D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D2C" w:rsidRDefault="009A7D2C">
      <w:pPr>
        <w:pStyle w:val="ConsPlusNormal"/>
        <w:jc w:val="both"/>
        <w:outlineLvl w:val="0"/>
      </w:pPr>
    </w:p>
    <w:p w:rsidR="009A7D2C" w:rsidRDefault="009A7D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7D2C" w:rsidRDefault="009A7D2C">
      <w:pPr>
        <w:pStyle w:val="ConsPlusTitle"/>
        <w:jc w:val="center"/>
      </w:pPr>
    </w:p>
    <w:p w:rsidR="009A7D2C" w:rsidRDefault="009A7D2C">
      <w:pPr>
        <w:pStyle w:val="ConsPlusTitle"/>
        <w:jc w:val="center"/>
      </w:pPr>
      <w:r>
        <w:t>ПОСТАНОВЛЕНИЕ</w:t>
      </w:r>
    </w:p>
    <w:p w:rsidR="009A7D2C" w:rsidRDefault="009A7D2C">
      <w:pPr>
        <w:pStyle w:val="ConsPlusTitle"/>
        <w:jc w:val="center"/>
      </w:pPr>
      <w:r>
        <w:t>от 27 марта 2019 г. N 322</w:t>
      </w:r>
    </w:p>
    <w:p w:rsidR="009A7D2C" w:rsidRDefault="009A7D2C">
      <w:pPr>
        <w:pStyle w:val="ConsPlusTitle"/>
        <w:jc w:val="center"/>
      </w:pPr>
    </w:p>
    <w:p w:rsidR="009A7D2C" w:rsidRDefault="009A7D2C">
      <w:pPr>
        <w:pStyle w:val="ConsPlusTitle"/>
        <w:jc w:val="center"/>
      </w:pPr>
      <w:r>
        <w:t>ОБ ОБЩИХ ТРЕБОВАНИЯХ</w:t>
      </w:r>
    </w:p>
    <w:p w:rsidR="009A7D2C" w:rsidRDefault="009A7D2C">
      <w:pPr>
        <w:pStyle w:val="ConsPlusTitle"/>
        <w:jc w:val="center"/>
      </w:pPr>
      <w:r>
        <w:t>К НОРМАТИВНЫМ ПРАВОВЫМ АКТАМ И МУНИЦИПАЛЬНЫМ ПРАВОВЫМ</w:t>
      </w:r>
    </w:p>
    <w:p w:rsidR="009A7D2C" w:rsidRDefault="009A7D2C">
      <w:pPr>
        <w:pStyle w:val="ConsPlusTitle"/>
        <w:jc w:val="center"/>
      </w:pPr>
      <w:r>
        <w:t>АКТАМ, УСТАНАВЛИВАЮЩИМ ПОРЯДОК ПРЕДОСТАВЛЕНИЯ ГРАНТОВ</w:t>
      </w:r>
    </w:p>
    <w:p w:rsidR="009A7D2C" w:rsidRDefault="009A7D2C">
      <w:pPr>
        <w:pStyle w:val="ConsPlusTitle"/>
        <w:jc w:val="center"/>
      </w:pPr>
      <w:r>
        <w:t>В ФОРМЕ СУБСИДИЙ, В ТОМ ЧИСЛЕ ПРЕДОСТАВЛЯЕМЫХ</w:t>
      </w:r>
    </w:p>
    <w:p w:rsidR="009A7D2C" w:rsidRDefault="009A7D2C">
      <w:pPr>
        <w:pStyle w:val="ConsPlusTitle"/>
        <w:jc w:val="center"/>
      </w:pPr>
      <w:r>
        <w:t>НА КОНКУРСНОЙ ОСНОВЕ</w:t>
      </w:r>
    </w:p>
    <w:p w:rsidR="009A7D2C" w:rsidRDefault="009A7D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7D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7D2C" w:rsidRDefault="009A7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D2C" w:rsidRDefault="009A7D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07.12.2019 N 1615)</w:t>
            </w:r>
          </w:p>
        </w:tc>
      </w:tr>
    </w:tbl>
    <w:p w:rsidR="009A7D2C" w:rsidRDefault="009A7D2C">
      <w:pPr>
        <w:pStyle w:val="ConsPlusNormal"/>
        <w:ind w:firstLine="540"/>
        <w:jc w:val="both"/>
      </w:pPr>
    </w:p>
    <w:p w:rsidR="009A7D2C" w:rsidRDefault="009A7D2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7 статьи 78</w:t>
        </w:r>
      </w:hyperlink>
      <w:r>
        <w:t xml:space="preserve"> и </w:t>
      </w:r>
      <w:hyperlink r:id="rId8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1. Утвердить прилагаемые общие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2. Установить, что общие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, утвержденные настоящим постановлением, не распространяются на порядки предоставления грантов в форме субсидий из федерального бюджета, бюджетов субъектов Российской Федерации, местных бюджетов, определенные решениями, предусмотренными </w:t>
      </w:r>
      <w:hyperlink r:id="rId9" w:history="1">
        <w:r>
          <w:rPr>
            <w:color w:val="0000FF"/>
          </w:rPr>
          <w:t>абзацем первым пункта 7 статьи 78</w:t>
        </w:r>
      </w:hyperlink>
      <w:r>
        <w:t xml:space="preserve"> и </w:t>
      </w:r>
      <w:hyperlink r:id="rId10" w:history="1">
        <w:r>
          <w:rPr>
            <w:color w:val="0000FF"/>
          </w:rPr>
          <w:t>абзацем первым пункта 4 статьи 78.1</w:t>
        </w:r>
      </w:hyperlink>
      <w:r>
        <w:t xml:space="preserve"> Бюджетного кодекса Российской Федерации.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обеспечить приведение в соответствие с общими </w:t>
      </w:r>
      <w:hyperlink w:anchor="P33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нормативных правовых актов, устанавливающих порядок предоставления грантов в форме субсидий, в том числе предоставляемых на конкурсной основе, при первом внесении изменений в указанные нормативные акты, но не позднее 1 августа 2019 г.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исполнительным органам государственной власти субъектов Российской Федерации и органам местного самоуправления привести в соответствие с общими </w:t>
      </w:r>
      <w:hyperlink w:anchor="P33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нормативные правовые акты субъектов Российской Федерации и муниципальные правовые акты, устанавливающие порядок предоставления грантов в форме субсидий, в том числе предоставляемых на конкурсной основе, при первом внесении изменений в указанные нормативные правовые акты, но не позднее 1 августа 2019</w:t>
      </w:r>
      <w:proofErr w:type="gramEnd"/>
      <w:r>
        <w:t xml:space="preserve"> </w:t>
      </w:r>
      <w:proofErr w:type="gramStart"/>
      <w:r>
        <w:t>г</w:t>
      </w:r>
      <w:proofErr w:type="gramEnd"/>
      <w:r>
        <w:t>.</w:t>
      </w:r>
    </w:p>
    <w:p w:rsidR="009A7D2C" w:rsidRDefault="009A7D2C">
      <w:pPr>
        <w:pStyle w:val="ConsPlusNormal"/>
        <w:ind w:firstLine="540"/>
        <w:jc w:val="both"/>
      </w:pPr>
    </w:p>
    <w:p w:rsidR="009A7D2C" w:rsidRDefault="009A7D2C">
      <w:pPr>
        <w:pStyle w:val="ConsPlusNormal"/>
        <w:jc w:val="right"/>
      </w:pPr>
      <w:r>
        <w:t>Председатель Правительства</w:t>
      </w:r>
    </w:p>
    <w:p w:rsidR="009A7D2C" w:rsidRDefault="009A7D2C">
      <w:pPr>
        <w:pStyle w:val="ConsPlusNormal"/>
        <w:jc w:val="right"/>
      </w:pPr>
      <w:r>
        <w:t>Российской Федерации</w:t>
      </w:r>
    </w:p>
    <w:p w:rsidR="009A7D2C" w:rsidRDefault="009A7D2C">
      <w:pPr>
        <w:pStyle w:val="ConsPlusNormal"/>
        <w:jc w:val="right"/>
      </w:pPr>
      <w:r>
        <w:t>Д.МЕДВЕДЕВ</w:t>
      </w: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right"/>
        <w:outlineLvl w:val="0"/>
      </w:pPr>
      <w:r>
        <w:t>Утверждены</w:t>
      </w:r>
    </w:p>
    <w:p w:rsidR="009A7D2C" w:rsidRDefault="009A7D2C">
      <w:pPr>
        <w:pStyle w:val="ConsPlusNormal"/>
        <w:jc w:val="right"/>
      </w:pPr>
      <w:r>
        <w:t>постановлением Правительства</w:t>
      </w:r>
    </w:p>
    <w:p w:rsidR="009A7D2C" w:rsidRDefault="009A7D2C">
      <w:pPr>
        <w:pStyle w:val="ConsPlusNormal"/>
        <w:jc w:val="right"/>
      </w:pPr>
      <w:r>
        <w:lastRenderedPageBreak/>
        <w:t>Российской Федерации</w:t>
      </w:r>
    </w:p>
    <w:p w:rsidR="009A7D2C" w:rsidRDefault="009A7D2C">
      <w:pPr>
        <w:pStyle w:val="ConsPlusNormal"/>
        <w:jc w:val="right"/>
      </w:pPr>
      <w:r>
        <w:t>от 27 марта 2019 г. N 322</w:t>
      </w: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Title"/>
        <w:jc w:val="center"/>
      </w:pPr>
      <w:bookmarkStart w:id="0" w:name="P33"/>
      <w:bookmarkEnd w:id="0"/>
      <w:r>
        <w:t>ОБЩИЕ ТРЕБОВАНИЯ</w:t>
      </w:r>
    </w:p>
    <w:p w:rsidR="009A7D2C" w:rsidRDefault="009A7D2C">
      <w:pPr>
        <w:pStyle w:val="ConsPlusTitle"/>
        <w:jc w:val="center"/>
      </w:pPr>
      <w:r>
        <w:t>К НОРМАТИВНЫМ ПРАВОВЫМ АКТАМ И МУНИЦИПАЛЬНЫМ ПРАВОВЫМ</w:t>
      </w:r>
    </w:p>
    <w:p w:rsidR="009A7D2C" w:rsidRDefault="009A7D2C">
      <w:pPr>
        <w:pStyle w:val="ConsPlusTitle"/>
        <w:jc w:val="center"/>
      </w:pPr>
      <w:r>
        <w:t>АКТАМ, УСТАНАВЛИВАЮЩИМ ПОРЯДОК ПРЕДОСТАВЛЕНИЯ ГРАНТОВ</w:t>
      </w:r>
    </w:p>
    <w:p w:rsidR="009A7D2C" w:rsidRDefault="009A7D2C">
      <w:pPr>
        <w:pStyle w:val="ConsPlusTitle"/>
        <w:jc w:val="center"/>
      </w:pPr>
      <w:r>
        <w:t>В ФОРМЕ СУБСИДИЙ, В ТОМ ЧИСЛЕ ПРЕДОСТАВЛЯЕМЫХ</w:t>
      </w:r>
    </w:p>
    <w:p w:rsidR="009A7D2C" w:rsidRDefault="009A7D2C">
      <w:pPr>
        <w:pStyle w:val="ConsPlusTitle"/>
        <w:jc w:val="center"/>
      </w:pPr>
      <w:r>
        <w:t>НА КОНКУРСНОЙ ОСНОВЕ</w:t>
      </w:r>
    </w:p>
    <w:p w:rsidR="009A7D2C" w:rsidRDefault="009A7D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7D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7D2C" w:rsidRDefault="009A7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D2C" w:rsidRDefault="009A7D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07.12.2019 N 1615)</w:t>
            </w:r>
          </w:p>
        </w:tc>
      </w:tr>
    </w:tbl>
    <w:p w:rsidR="009A7D2C" w:rsidRDefault="009A7D2C">
      <w:pPr>
        <w:pStyle w:val="ConsPlusNormal"/>
        <w:ind w:firstLine="540"/>
        <w:jc w:val="both"/>
      </w:pPr>
    </w:p>
    <w:p w:rsidR="009A7D2C" w:rsidRDefault="009A7D2C">
      <w:pPr>
        <w:pStyle w:val="ConsPlusNormal"/>
        <w:ind w:firstLine="540"/>
        <w:jc w:val="both"/>
      </w:pPr>
      <w:bookmarkStart w:id="1" w:name="P41"/>
      <w:bookmarkEnd w:id="1"/>
      <w:r>
        <w:t xml:space="preserve">1. </w:t>
      </w:r>
      <w:proofErr w:type="gramStart"/>
      <w:r>
        <w:t xml:space="preserve">Настоящий документ определяет общие требования к нормативным правовым актам и муниципальным правовым актам, устанавливающим в соответствии с </w:t>
      </w:r>
      <w:hyperlink r:id="rId12" w:history="1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 порядок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а также к нормативным правовым актам и муниципальным правовым актам, устанавливающим</w:t>
      </w:r>
      <w:proofErr w:type="gramEnd"/>
      <w:r>
        <w:t xml:space="preserve"> </w:t>
      </w: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порядок предоставления некоммерческим организациям, не являющимся казенными учреждениями, грантов в форме субсидий, в том числе предоставляемых по результатам проводимых федеральными органами исполнительной власти, органами исполнительной власти субъектов Российской Федерации и местными администрациями конкурсов бюджетным и автономным учреждениям, включая учреждения, в отношении которых указанные органы не осуществляют функции и полномочия</w:t>
      </w:r>
      <w:proofErr w:type="gramEnd"/>
      <w:r>
        <w:t xml:space="preserve"> учредителя (далее соответственно - гранты, правовые акты).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2. Правовые акты содержат: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а) общие положения о предоставлении грантов;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б) порядок проведения отбора лиц,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документа, для предоставления им грантов (далее соответственно - получатели грантов, отбор);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в) условия и порядок предоставления грантов;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г) требования к отчетности;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д) порядок осуществления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грантов и ответственности за их несоблюдение.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3. В целях определения общих положений о предоставлении грантов в правовом акте указываются:</w:t>
      </w:r>
    </w:p>
    <w:p w:rsidR="009A7D2C" w:rsidRDefault="009A7D2C">
      <w:pPr>
        <w:pStyle w:val="ConsPlusNormal"/>
        <w:spacing w:before="220"/>
        <w:ind w:firstLine="540"/>
        <w:jc w:val="both"/>
      </w:pPr>
      <w:proofErr w:type="gramStart"/>
      <w:r>
        <w:t>а) понятия, используемые в правовом акте (при необходимости);</w:t>
      </w:r>
      <w:proofErr w:type="gramEnd"/>
    </w:p>
    <w:p w:rsidR="009A7D2C" w:rsidRDefault="009A7D2C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б) цели предоставления грантов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гранты предоставляются в целях реализации соответствующего проекта (программы);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в) наименование органа государственной власти (государственного органа), органа местного самоуправления и организации, до которых в соответствии с бюджетным законодательством Российской Федерации как до получателей бюджетных средств доведены в установленном </w:t>
      </w:r>
      <w:r>
        <w:lastRenderedPageBreak/>
        <w:t>порядке лимиты бюджетных обязательств на предоставление грантов на соответствующий финансовый год (соответствующий финансовый год и плановый период) (далее - главный распорядитель);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3" w:name="P53"/>
      <w:bookmarkEnd w:id="3"/>
      <w:proofErr w:type="gramStart"/>
      <w:r>
        <w:t>г) категории получателей грантов и (или) критерии отбора для получателей грантов, отбираемых исходя из указанных критериев, в том числе на конкурсной основе (далее - отбор), с указанием в правовом акте способов проведения отбора (за исключением случаев, когда категории или получатели грантов определяются законом (решением) о бюджете, решениями Правительства Российской Федерации, высшего исполнительного органа государственной власти субъекта Российской Федерации, местной администрации), а</w:t>
      </w:r>
      <w:proofErr w:type="gramEnd"/>
      <w:r>
        <w:t xml:space="preserve"> также при необходимости порядок рейтингования получателей грантов;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д) иные положения (при необходимости).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4. В целях определения порядка проведения отбора в случаях, предусмотренных </w:t>
      </w:r>
      <w:hyperlink w:anchor="P53" w:history="1">
        <w:r>
          <w:rPr>
            <w:color w:val="0000FF"/>
          </w:rPr>
          <w:t>подпунктом "г" пункта 3</w:t>
        </w:r>
      </w:hyperlink>
      <w:r>
        <w:t xml:space="preserve"> настоящего документа, если иное не установлено федеральным законом, в правовом акте указываются: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а) порядок объявления о проведении отбора;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б) сроки и порядок подачи участниками отбора в федеральный орган исполнительной власти, орган исполнительной власти субъекта Российской Федерации и орган местного самоуправления, осуществляющие проведение отбора, документов, необходимых для проведения отбора, перечень таких документов, требования к ним (при необходимости), а также сроки и порядок их рассмотрения;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в) основания для отказа в участии в отборе, в том числе в случае несоответствия участника отбора следующим требованиям:</w:t>
      </w:r>
    </w:p>
    <w:p w:rsidR="009A7D2C" w:rsidRDefault="009A7D2C">
      <w:pPr>
        <w:pStyle w:val="ConsPlusNormal"/>
        <w:spacing w:before="220"/>
        <w:ind w:firstLine="540"/>
        <w:jc w:val="both"/>
      </w:pPr>
      <w:proofErr w:type="gramStart"/>
      <w: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17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 (в случае если такое требование предусмотрено правовым актом);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r>
        <w:lastRenderedPageBreak/>
        <w:t>законодательством Российской Федерации о налогах и сборах, на дату, определенную правовым актом;</w:t>
      </w:r>
    </w:p>
    <w:p w:rsidR="009A7D2C" w:rsidRDefault="009A7D2C">
      <w:pPr>
        <w:pStyle w:val="ConsPlusNormal"/>
        <w:spacing w:before="220"/>
        <w:ind w:firstLine="540"/>
        <w:jc w:val="both"/>
      </w:pPr>
      <w:proofErr w:type="gramStart"/>
      <w: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9A7D2C" w:rsidRDefault="009A7D2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в(1)) порядок формирования конкурсной комиссии в случае, если предоставление гранта планируется в результате отбора;</w:t>
      </w:r>
    </w:p>
    <w:p w:rsidR="009A7D2C" w:rsidRDefault="009A7D2C">
      <w:pPr>
        <w:pStyle w:val="ConsPlusNormal"/>
        <w:jc w:val="both"/>
      </w:pPr>
      <w:r>
        <w:t xml:space="preserve">(пп. "в(1)"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г) порядок определения победителя отбора, в том числе критерии оценки заявок, порядок принятия конкурсной комиссией решения о предоставлении грантов;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г(1)) порядок размещения информации о результатах проведения отбора, </w:t>
      </w:r>
      <w:proofErr w:type="gramStart"/>
      <w:r>
        <w:t>предусматривающий</w:t>
      </w:r>
      <w:proofErr w:type="gramEnd"/>
      <w:r>
        <w:t xml:space="preserve"> в том числе размещение информации об участниках отбора, рейтинге и (или) оценках по критериям отбора, размерах предоставляемых грантов;</w:t>
      </w:r>
    </w:p>
    <w:p w:rsidR="009A7D2C" w:rsidRDefault="009A7D2C">
      <w:pPr>
        <w:pStyle w:val="ConsPlusNormal"/>
        <w:jc w:val="both"/>
      </w:pPr>
      <w:r>
        <w:t xml:space="preserve">(пп. "г(1)"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(2)) информация о сайте в информационно-телекоммуникационной сети "Интернет", на котором размещается информация о проведении отбора и его результатах, в том числе о получателях грантов, определенных по результатам отбора;</w:t>
      </w:r>
    </w:p>
    <w:p w:rsidR="009A7D2C" w:rsidRDefault="009A7D2C">
      <w:pPr>
        <w:pStyle w:val="ConsPlusNormal"/>
        <w:jc w:val="both"/>
      </w:pPr>
      <w:r>
        <w:t xml:space="preserve">(пп. "г(2)"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д) иные положения (при необходимости).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5. 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 которого не является орган, проводящий конкурс,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6. Правовым актом может быть предусмотрено оформление порядка проведения отбора отдельным приложением к правовому акту.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7. В целях определения условий и порядка предоставления грантов в правовом акте указываются: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5" w:name="P80"/>
      <w:bookmarkEnd w:id="5"/>
      <w:r>
        <w:t>а) порядок подачи и перечень документов, представляемых получателем гранта главному распорядителю, в случае если указанные документы не были представлены при проведении отбора, а также при необходимости требования к таким документам и порядок их рассмотрения;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б) основания для отказа получателю гранта в предоставлении гранта: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гранта документов требованиям к документам, определенным </w:t>
      </w:r>
      <w:hyperlink w:anchor="P80" w:history="1">
        <w:r>
          <w:rPr>
            <w:color w:val="0000FF"/>
          </w:rPr>
          <w:t>подпунктом "а"</w:t>
        </w:r>
      </w:hyperlink>
      <w:r>
        <w:t xml:space="preserve"> настоящего пункта, или непредставление (предоставление не в полном объеме) указанных документов;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документах, представленных получателем гранта;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lastRenderedPageBreak/>
        <w:t>иные основания для отказа, определенные правовым актом (при необходимости);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в) требования к получателям гранта, аналогичные требованиям, указанным в </w:t>
      </w:r>
      <w:hyperlink w:anchor="P60" w:history="1">
        <w:r>
          <w:rPr>
            <w:color w:val="0000FF"/>
          </w:rPr>
          <w:t>подпункте "в" пункта 4</w:t>
        </w:r>
      </w:hyperlink>
      <w:r>
        <w:t xml:space="preserve"> настоящего документа, если проверка на соответствие указанным требованиям в случаях, предусмотренных </w:t>
      </w:r>
      <w:hyperlink w:anchor="P53" w:history="1">
        <w:r>
          <w:rPr>
            <w:color w:val="0000FF"/>
          </w:rPr>
          <w:t>подпунктом "г" пункта 3</w:t>
        </w:r>
      </w:hyperlink>
      <w:r>
        <w:t xml:space="preserve"> настоящего документа, не проводилась;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г) предельный размер гранта и (или) порядок расчета размера гранта, за исключением случаев, если размер гранта определен законом (решением) о бюджете, решениями Правительства Российской Федерации, высшего исполнительного органа государственной власти субъекта Российской Федерации и местной администрации;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д) порядок возврата гранта в бюджет бюджетной системы Российской Федерации, из которого предоставлен грант, и расчета штрафных санкций, предусмотренных </w:t>
      </w:r>
      <w:hyperlink w:anchor="P110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1" w:history="1">
        <w:r>
          <w:rPr>
            <w:color w:val="0000FF"/>
          </w:rPr>
          <w:t>третьим подпункта "б" пункта 9</w:t>
        </w:r>
      </w:hyperlink>
      <w:r>
        <w:t xml:space="preserve"> настоящего документа (при необходимости);</w:t>
      </w:r>
    </w:p>
    <w:p w:rsidR="009A7D2C" w:rsidRDefault="009A7D2C">
      <w:pPr>
        <w:pStyle w:val="ConsPlusNormal"/>
        <w:jc w:val="both"/>
      </w:pPr>
      <w:r>
        <w:t xml:space="preserve">(пп. "д"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6" w:name="P89"/>
      <w:bookmarkEnd w:id="6"/>
      <w:r>
        <w:t>е) условие о согласии получателя гранта на осуществление в отношении него проверки главным распорядителем и уполномоченным органом государственного (муниципального) финансового контроля соблюдения целей, условий и порядка предоставления гранта;</w:t>
      </w:r>
    </w:p>
    <w:p w:rsidR="009A7D2C" w:rsidRDefault="009A7D2C">
      <w:pPr>
        <w:pStyle w:val="ConsPlusNormal"/>
        <w:spacing w:before="220"/>
        <w:ind w:firstLine="540"/>
        <w:jc w:val="both"/>
      </w:pPr>
      <w:proofErr w:type="gramStart"/>
      <w:r>
        <w:t xml:space="preserve">ж) условие и порядок заключения соглашения (договора) о предоставлении гранта из федерального бюджета, бюджета субъекта Российской Федерации или местного бюджета, в том числе дополнительного соглашения о внесении в него изменений (далее - соглашение), а также дополнительного соглашения о расторжении соглашения (при необходимости) в соответствии с типовой </w:t>
      </w:r>
      <w:hyperlink r:id="rId25" w:history="1">
        <w:r>
          <w:rPr>
            <w:color w:val="0000FF"/>
          </w:rPr>
          <w:t>формой</w:t>
        </w:r>
      </w:hyperlink>
      <w:r>
        <w:t>, установленной соответственно Министерством финансов Российской Федерации, финансовым органом субъекта Российской Федерации или финансовым органом</w:t>
      </w:r>
      <w:proofErr w:type="gramEnd"/>
      <w:r>
        <w:t xml:space="preserve"> муниципального образования;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t xml:space="preserve">з) результаты предоставления гранта, которые должны быть конкретными, измеримыми и соответствовать результатам федеральных, региональных проектов или программ, указанных в </w:t>
      </w:r>
      <w:hyperlink w:anchor="P50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 (в случае если грант предоставляется в целях реализации такого проекта, программы), и при необходимости показатели, необходимые для достижения результатов предоставления гранта, включая показатели в части материальных и нематериальных объектов и (или) услуг, планируемых к получению</w:t>
      </w:r>
      <w:proofErr w:type="gramEnd"/>
      <w:r>
        <w:t xml:space="preserve">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9A7D2C" w:rsidRDefault="009A7D2C">
      <w:pPr>
        <w:pStyle w:val="ConsPlusNormal"/>
        <w:jc w:val="both"/>
      </w:pPr>
      <w:r>
        <w:t xml:space="preserve">(пп. "з"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и) сроки (периодичность) перечисления гранта;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к) следующие счета, на которые подлежит перечислению грант получателям гранта: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индивидуальным предпринимателям, юридическим лицам, за исключением бюджетных (автономных) учреждений: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</w:t>
      </w:r>
      <w:r>
        <w:lastRenderedPageBreak/>
        <w:t>грантов в российских кредитных организациях;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бюджетным учреждениям -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автономным учреждениям -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л) перечень затрат, на финансовое обеспечение (возмещение) которых предоставляется грант (при необходимости);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м) иная информация (при необходимости).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8" w:name="P104"/>
      <w:bookmarkEnd w:id="8"/>
      <w:r>
        <w:t xml:space="preserve">8. </w:t>
      </w:r>
      <w:proofErr w:type="gramStart"/>
      <w:r>
        <w:t xml:space="preserve">Требования к отчетности предусматривают определение порядка, а также сроков и формы представления получателем гранта отчетности о достижении результатов (показателей), указанных в </w:t>
      </w:r>
      <w:hyperlink w:anchor="P91" w:history="1">
        <w:r>
          <w:rPr>
            <w:color w:val="0000FF"/>
          </w:rPr>
          <w:t>подпункте "з" пункта 7</w:t>
        </w:r>
      </w:hyperlink>
      <w:r>
        <w:t xml:space="preserve"> настоящего документа (если правовым актом предусмотрено установление таких показателей), и (или) отчетности об осуществлении расходов, источником финансового обеспечения которых является грант, или право главного распорядителя устанавливать в соглашении сроки и формы представления получателем гранта дополнительной</w:t>
      </w:r>
      <w:proofErr w:type="gramEnd"/>
      <w:r>
        <w:t xml:space="preserve"> отчетности.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9" w:name="P106"/>
      <w:bookmarkEnd w:id="9"/>
      <w:r>
        <w:t xml:space="preserve">9. В целях определения порядка осуществления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грантов и ответственности за их несоблюдение в правовом акте указываются: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а) положения об обязательной проверке главным распорядителем и уполномоченным органом государственного (муниципального) финансового контроля соблюдения целей, условий и порядка предоставления грантов получателями грантов;</w:t>
      </w:r>
    </w:p>
    <w:p w:rsidR="009A7D2C" w:rsidRDefault="009A7D2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б) следующие меры ответственности за несоблюдение условий, целей и порядка предоставления грантов:</w:t>
      </w:r>
    </w:p>
    <w:p w:rsidR="009A7D2C" w:rsidRDefault="009A7D2C">
      <w:pPr>
        <w:pStyle w:val="ConsPlusNormal"/>
        <w:spacing w:before="220"/>
        <w:ind w:firstLine="540"/>
        <w:jc w:val="both"/>
      </w:pPr>
      <w:bookmarkStart w:id="10" w:name="P110"/>
      <w:bookmarkEnd w:id="10"/>
      <w:proofErr w:type="gramStart"/>
      <w:r>
        <w:t xml:space="preserve">возврат гранта в бюджет бюджетной системы Российской Федерации, из которого предоставлен грант, в случае несоблюдения получателем гранта целей, условий и порядка предоставления гранта, выявленного по фактам проверок, проведенных главным распорядителем и уполномоченным органом государственного (муниципального) финансового контроля, а также в случае недостижения показателей, указанных в </w:t>
      </w:r>
      <w:hyperlink w:anchor="P91" w:history="1">
        <w:r>
          <w:rPr>
            <w:color w:val="0000FF"/>
          </w:rPr>
          <w:t>подпункте "з" пункта 7</w:t>
        </w:r>
      </w:hyperlink>
      <w:r>
        <w:t xml:space="preserve"> настоящего документа (если правовым актом предусмотрено установление таких показателей);</w:t>
      </w:r>
      <w:proofErr w:type="gramEnd"/>
    </w:p>
    <w:p w:rsidR="009A7D2C" w:rsidRDefault="009A7D2C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>штрафные санкции за несоблюдение целей, условий и порядка предоставления гранта (если правовым актом предусмотрено установление штрафных санкций);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>иные меры ответственности, определенные правовым актом (при необходимости).</w:t>
      </w:r>
    </w:p>
    <w:p w:rsidR="009A7D2C" w:rsidRDefault="009A7D2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если для достижения целей предоставления грантов в правовом акте предусматривается последующее предоставление получателем гранта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</w:t>
      </w:r>
      <w:proofErr w:type="gramEnd"/>
      <w:r>
        <w:t xml:space="preserve"> в соглашение условий, аналогичных положениям, указанным в </w:t>
      </w:r>
      <w:hyperlink w:anchor="P53" w:history="1">
        <w:r>
          <w:rPr>
            <w:color w:val="0000FF"/>
          </w:rPr>
          <w:t>подпункте "г" пункта 3</w:t>
        </w:r>
      </w:hyperlink>
      <w:r>
        <w:t xml:space="preserve"> (если определение указанных лиц планируется в </w:t>
      </w:r>
      <w:r>
        <w:lastRenderedPageBreak/>
        <w:t xml:space="preserve">результате отбора), </w:t>
      </w:r>
      <w:hyperlink w:anchor="P89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91" w:history="1">
        <w:r>
          <w:rPr>
            <w:color w:val="0000FF"/>
          </w:rPr>
          <w:t>"з" пункта 7</w:t>
        </w:r>
      </w:hyperlink>
      <w:r>
        <w:t xml:space="preserve">, </w:t>
      </w:r>
      <w:hyperlink w:anchor="P104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106" w:history="1">
        <w:r>
          <w:rPr>
            <w:color w:val="0000FF"/>
          </w:rPr>
          <w:t>9</w:t>
        </w:r>
      </w:hyperlink>
      <w:r>
        <w:t xml:space="preserve"> настоящего документа.</w:t>
      </w:r>
    </w:p>
    <w:p w:rsidR="009A7D2C" w:rsidRDefault="009A7D2C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07.12.2019 N 1615)</w:t>
      </w: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jc w:val="both"/>
      </w:pPr>
    </w:p>
    <w:p w:rsidR="009A7D2C" w:rsidRDefault="009A7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3D5" w:rsidRDefault="00DF63D5">
      <w:bookmarkStart w:id="12" w:name="_GoBack"/>
      <w:bookmarkEnd w:id="12"/>
    </w:p>
    <w:sectPr w:rsidR="00DF63D5" w:rsidSect="0045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2C"/>
    <w:rsid w:val="009A7D2C"/>
    <w:rsid w:val="00D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C79A67ED97633B94F851180DFBA00775E4B42C866DDE7891B3FE8D622CADD7E62216F7FAA463FE45E54FE4B36892D6C02C7C9E6BZEw3L" TargetMode="External"/><Relationship Id="rId13" Type="http://schemas.openxmlformats.org/officeDocument/2006/relationships/hyperlink" Target="consultantplus://offline/ref=F0A4C79A67ED97633B94F851180DFBA00775E4B42C866DDE7891B3FE8D622CADD7E62216F7FAA463FE45E54FE4B36892D6C02C7C9E6BZEw3L" TargetMode="External"/><Relationship Id="rId18" Type="http://schemas.openxmlformats.org/officeDocument/2006/relationships/hyperlink" Target="consultantplus://offline/ref=F0A4C79A67ED97633B94F851180DFBA00775EBBA21866DDE7891B3FE8D622CADD7E62213F0F3A069A31FF54BADE4628ED0DC337C8068EAE6ZCwBL" TargetMode="External"/><Relationship Id="rId26" Type="http://schemas.openxmlformats.org/officeDocument/2006/relationships/hyperlink" Target="consultantplus://offline/ref=F0A4C79A67ED97633B94F851180DFBA00775EBBA21866DDE7891B3FE8D622CADD7E62213F0F3A06BAA1FF54BADE4628ED0DC337C8068EAE6ZCw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A4C79A67ED97633B94F851180DFBA00775EBBA21866DDE7891B3FE8D622CADD7E62213F0F3A06AA91FF54BADE4628ED0DC337C8068EAE6ZCwBL" TargetMode="External"/><Relationship Id="rId7" Type="http://schemas.openxmlformats.org/officeDocument/2006/relationships/hyperlink" Target="consultantplus://offline/ref=F0A4C79A67ED97633B94F851180DFBA00775E4B42C866DDE7891B3FE8D622CADD7E62216F7F4A763FE45E54FE4B36892D6C02C7C9E6BZEw3L" TargetMode="External"/><Relationship Id="rId12" Type="http://schemas.openxmlformats.org/officeDocument/2006/relationships/hyperlink" Target="consultantplus://offline/ref=F0A4C79A67ED97633B94F851180DFBA00775E4B42C866DDE7891B3FE8D622CADD7E62216F7F4A763FE45E54FE4B36892D6C02C7C9E6BZEw3L" TargetMode="External"/><Relationship Id="rId17" Type="http://schemas.openxmlformats.org/officeDocument/2006/relationships/hyperlink" Target="consultantplus://offline/ref=F0A4C79A67ED97633B94F851180DFBA0067EE1B222856DDE7891B3FE8D622CADD7E62217FBA7F12CFF19A31DF7B06D92D5C233Z7w7L" TargetMode="External"/><Relationship Id="rId25" Type="http://schemas.openxmlformats.org/officeDocument/2006/relationships/hyperlink" Target="consultantplus://offline/ref=F0A4C79A67ED97633B94F851180DFBA00777E4B727856DDE7891B3FE8D622CADD7E62213F0F3A068AC1FF54BADE4628ED0DC337C8068EAE6ZCw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A4C79A67ED97633B94F851180DFBA00775EBBA21866DDE7891B3FE8D622CADD7E62213F0F3A069AD1FF54BADE4628ED0DC337C8068EAE6ZCwBL" TargetMode="External"/><Relationship Id="rId20" Type="http://schemas.openxmlformats.org/officeDocument/2006/relationships/hyperlink" Target="consultantplus://offline/ref=F0A4C79A67ED97633B94F851180DFBA00775EBBA21866DDE7891B3FE8D622CADD7E62213F0F3A06AAB1FF54BADE4628ED0DC337C8068EAE6ZCwBL" TargetMode="External"/><Relationship Id="rId29" Type="http://schemas.openxmlformats.org/officeDocument/2006/relationships/hyperlink" Target="consultantplus://offline/ref=F0A4C79A67ED97633B94F851180DFBA00775EBBA21866DDE7891B3FE8D622CADD7E62213F0F3A06BAE1FF54BADE4628ED0DC337C8068EAE6ZCw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4C79A67ED97633B94F851180DFBA00775EBBA21866DDE7891B3FE8D622CADD7E62213F0F3A068AF1FF54BADE4628ED0DC337C8068EAE6ZCwBL" TargetMode="External"/><Relationship Id="rId11" Type="http://schemas.openxmlformats.org/officeDocument/2006/relationships/hyperlink" Target="consultantplus://offline/ref=F0A4C79A67ED97633B94F851180DFBA00775EBBA21866DDE7891B3FE8D622CADD7E62213F0F3A068AF1FF54BADE4628ED0DC337C8068EAE6ZCwBL" TargetMode="External"/><Relationship Id="rId24" Type="http://schemas.openxmlformats.org/officeDocument/2006/relationships/hyperlink" Target="consultantplus://offline/ref=F0A4C79A67ED97633B94F851180DFBA00775EBBA21866DDE7891B3FE8D622CADD7E62213F0F3A06AA21FF54BADE4628ED0DC337C8068EAE6ZCwB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A4C79A67ED97633B94F851180DFBA00775EBBA21866DDE7891B3FE8D622CADD7E62213F0F3A069AF1FF54BADE4628ED0DC337C8068EAE6ZCwBL" TargetMode="External"/><Relationship Id="rId23" Type="http://schemas.openxmlformats.org/officeDocument/2006/relationships/hyperlink" Target="consultantplus://offline/ref=F0A4C79A67ED97633B94F851180DFBA00775EBBA21866DDE7891B3FE8D622CADD7E62213F0F3A06AAC1FF54BADE4628ED0DC337C8068EAE6ZCwBL" TargetMode="External"/><Relationship Id="rId28" Type="http://schemas.openxmlformats.org/officeDocument/2006/relationships/hyperlink" Target="consultantplus://offline/ref=F0A4C79A67ED97633B94F851180DFBA00775EBBA21866DDE7891B3FE8D622CADD7E62213F0F3A06BA91FF54BADE4628ED0DC337C8068EAE6ZCwBL" TargetMode="External"/><Relationship Id="rId10" Type="http://schemas.openxmlformats.org/officeDocument/2006/relationships/hyperlink" Target="consultantplus://offline/ref=F0A4C79A67ED97633B94F851180DFBA00775E4B42C866DDE7891B3FE8D622CADD7E62213F0F0A46BA81FF54BADE4628ED0DC337C8068EAE6ZCwBL" TargetMode="External"/><Relationship Id="rId19" Type="http://schemas.openxmlformats.org/officeDocument/2006/relationships/hyperlink" Target="consultantplus://offline/ref=F0A4C79A67ED97633B94F851180DFBA00775EBBA21866DDE7891B3FE8D622CADD7E62213F0F3A06AAA1FF54BADE4628ED0DC337C8068EAE6ZCwB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4C79A67ED97633B94F851180DFBA00775E4B42C866DDE7891B3FE8D622CADD7E62213F0F0A468AF1FF54BADE4628ED0DC337C8068EAE6ZCwBL" TargetMode="External"/><Relationship Id="rId14" Type="http://schemas.openxmlformats.org/officeDocument/2006/relationships/hyperlink" Target="consultantplus://offline/ref=F0A4C79A67ED97633B94F851180DFBA00775EBBA21866DDE7891B3FE8D622CADD7E62213F0F3A069AE1FF54BADE4628ED0DC337C8068EAE6ZCwBL" TargetMode="External"/><Relationship Id="rId22" Type="http://schemas.openxmlformats.org/officeDocument/2006/relationships/hyperlink" Target="consultantplus://offline/ref=F0A4C79A67ED97633B94F851180DFBA00775EBBA21866DDE7891B3FE8D622CADD7E62213F0F3A06AAE1FF54BADE4628ED0DC337C8068EAE6ZCwBL" TargetMode="External"/><Relationship Id="rId27" Type="http://schemas.openxmlformats.org/officeDocument/2006/relationships/hyperlink" Target="consultantplus://offline/ref=F0A4C79A67ED97633B94F851180DFBA00775EBBA21866DDE7891B3FE8D622CADD7E62213F0F3A06BA81FF54BADE4628ED0DC337C8068EAE6ZCwBL" TargetMode="External"/><Relationship Id="rId30" Type="http://schemas.openxmlformats.org/officeDocument/2006/relationships/hyperlink" Target="consultantplus://offline/ref=F0A4C79A67ED97633B94F851180DFBA00775EBBA21866DDE7891B3FE8D622CADD7E62213F0F3A06BAF1FF54BADE4628ED0DC337C8068EAE6ZC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Ротькина Анна Сергеевна</dc:creator>
  <cp:lastModifiedBy>Ротькина Анна Сергеевна</cp:lastModifiedBy>
  <cp:revision>1</cp:revision>
  <dcterms:created xsi:type="dcterms:W3CDTF">2019-12-27T11:48:00Z</dcterms:created>
  <dcterms:modified xsi:type="dcterms:W3CDTF">2019-12-27T11:48:00Z</dcterms:modified>
</cp:coreProperties>
</file>